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proofErr w:type="spellStart"/>
      <w:r w:rsidRPr="008E0FBD">
        <w:rPr>
          <w:rFonts w:ascii="Arial" w:hAnsi="Arial" w:cs="Arial"/>
          <w:b/>
          <w:bCs/>
        </w:rPr>
        <w:t>Αρ</w:t>
      </w:r>
      <w:proofErr w:type="spellEnd"/>
      <w:r w:rsidRPr="008E0FBD">
        <w:rPr>
          <w:rFonts w:ascii="Arial" w:hAnsi="Arial" w:cs="Arial"/>
          <w:b/>
          <w:bCs/>
        </w:rPr>
        <w:t>. Φύλλου 145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11 Ιουλίου 2014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r w:rsidRPr="008E0FBD">
        <w:rPr>
          <w:rFonts w:ascii="Arial" w:hAnsi="Arial" w:cs="Arial"/>
          <w:b/>
          <w:bCs/>
        </w:rPr>
        <w:t>Άρθρο 22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</w:rPr>
      </w:pPr>
      <w:bookmarkStart w:id="0" w:name="_GoBack"/>
      <w:r w:rsidRPr="008E0FBD">
        <w:rPr>
          <w:rFonts w:ascii="Arial" w:hAnsi="Arial" w:cs="Arial"/>
          <w:b/>
          <w:bCs/>
        </w:rPr>
        <w:t xml:space="preserve">Ειδικότητα Στοματικής και </w:t>
      </w:r>
      <w:proofErr w:type="spellStart"/>
      <w:r w:rsidRPr="008E0FBD">
        <w:rPr>
          <w:rFonts w:ascii="Arial" w:hAnsi="Arial" w:cs="Arial"/>
          <w:b/>
          <w:bCs/>
        </w:rPr>
        <w:t>Γναθοπροσωπικής</w:t>
      </w:r>
      <w:proofErr w:type="spellEnd"/>
      <w:r w:rsidR="00D7547A">
        <w:rPr>
          <w:rFonts w:ascii="Arial" w:hAnsi="Arial" w:cs="Arial"/>
          <w:b/>
          <w:bCs/>
        </w:rPr>
        <w:t xml:space="preserve"> </w:t>
      </w:r>
      <w:r w:rsidRPr="008E0FBD">
        <w:rPr>
          <w:rFonts w:ascii="Arial" w:hAnsi="Arial" w:cs="Arial"/>
          <w:b/>
          <w:bCs/>
        </w:rPr>
        <w:t>Χειρουργικής</w:t>
      </w:r>
    </w:p>
    <w:bookmarkEnd w:id="0"/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1. Στην παρ. β.1 του άρθρου 29 του ν. 3209/2003 (Α΄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304) προστίθεται τρίτο εδάφιο ως εξής: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«β.1. Οι κατέχοντες τον τίτλο της ειδικότητας της Γναθοχειρουργικής, σύμφωνα με τα προεδρικά διατάγματα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 xml:space="preserve">200/1988 και 577/1989 που μετονομάσθηκαν σε Στοματικούς και </w:t>
      </w:r>
      <w:proofErr w:type="spellStart"/>
      <w:r w:rsidRPr="008E0FBD">
        <w:rPr>
          <w:rFonts w:ascii="Arial" w:hAnsi="Arial" w:cs="Arial"/>
        </w:rPr>
        <w:t>Γναθοπροσωπικούς</w:t>
      </w:r>
      <w:proofErr w:type="spellEnd"/>
      <w:r w:rsidRPr="008E0FBD">
        <w:rPr>
          <w:rFonts w:ascii="Arial" w:hAnsi="Arial" w:cs="Arial"/>
        </w:rPr>
        <w:t xml:space="preserve"> Χειρουργούς, διατηρούν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τον τίτλο τους, έχουν δε τα δικαιώματα που απορρέουν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 xml:space="preserve">από την ειδικότητα της Στοματικής και </w:t>
      </w:r>
      <w:proofErr w:type="spellStart"/>
      <w:r w:rsidRPr="008E0FBD">
        <w:rPr>
          <w:rFonts w:ascii="Arial" w:hAnsi="Arial" w:cs="Arial"/>
        </w:rPr>
        <w:t>Γναθοπροσωπικής</w:t>
      </w:r>
      <w:proofErr w:type="spellEnd"/>
      <w:r w:rsidRPr="008E0FBD">
        <w:rPr>
          <w:rFonts w:ascii="Arial" w:hAnsi="Arial" w:cs="Arial"/>
        </w:rPr>
        <w:t xml:space="preserve"> Χειρουργικής, όπως ορίζεται στον παρόντα νόμο.»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2. Η παρ. β.2 του άρθρου 29 του ν. 3209/2003 (Α΄ 304)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αντικαθίσταται ως εξής: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 xml:space="preserve">«β.2. Η Στοματική και </w:t>
      </w:r>
      <w:proofErr w:type="spellStart"/>
      <w:r w:rsidRPr="008E0FBD">
        <w:rPr>
          <w:rFonts w:ascii="Arial" w:hAnsi="Arial" w:cs="Arial"/>
        </w:rPr>
        <w:t>Γναθοπροσωπική</w:t>
      </w:r>
      <w:proofErr w:type="spellEnd"/>
      <w:r w:rsidRPr="008E0FBD">
        <w:rPr>
          <w:rFonts w:ascii="Arial" w:hAnsi="Arial" w:cs="Arial"/>
        </w:rPr>
        <w:t xml:space="preserve"> Χειρουργική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καθορίζεται ως ιατρική ειδικότητα που απαιτεί τις γνώσεις της ιατρικής και της οδοντιατρικής επιστήμης.»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3. Η παράγραφος β.3. του άρθρου 29 του ν. 3209/2003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(Α΄ 304) αντικαθίσταται ως εξής: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 xml:space="preserve">«β.3. Η Στοματική και </w:t>
      </w:r>
      <w:proofErr w:type="spellStart"/>
      <w:r w:rsidRPr="008E0FBD">
        <w:rPr>
          <w:rFonts w:ascii="Arial" w:hAnsi="Arial" w:cs="Arial"/>
        </w:rPr>
        <w:t>Γναθοπροσωπική</w:t>
      </w:r>
      <w:proofErr w:type="spellEnd"/>
      <w:r w:rsidRPr="008E0FBD">
        <w:rPr>
          <w:rFonts w:ascii="Arial" w:hAnsi="Arial" w:cs="Arial"/>
        </w:rPr>
        <w:t xml:space="preserve"> Χειρουργική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περιλαμβάνει την απόκτηση γνώσεων και δεξιοτήτων,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 xml:space="preserve">ώστε ο ειδικευόμενος Στοματικός και </w:t>
      </w:r>
      <w:proofErr w:type="spellStart"/>
      <w:r w:rsidRPr="008E0FBD">
        <w:rPr>
          <w:rFonts w:ascii="Arial" w:hAnsi="Arial" w:cs="Arial"/>
        </w:rPr>
        <w:t>Γναθοπροσωπικός</w:t>
      </w:r>
      <w:proofErr w:type="spellEnd"/>
      <w:r w:rsidRPr="008E0FBD">
        <w:rPr>
          <w:rFonts w:ascii="Arial" w:hAnsi="Arial" w:cs="Arial"/>
        </w:rPr>
        <w:t xml:space="preserve"> Χειρουργός να είναι σε θέση να διαγιγνώσκει και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να αντιμετωπίζει τις συνήθεις, αλλά και σπανιότερες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παθολογικές καταστάσεις που αφορούν στη στοματική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κοιλότητα, τις γνάθους και το πρόσωπο, καθώς και τις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επεκτάσεις τους στην κεφαλή και τον τράχηλο.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Η εκπαίδευση αρχίζει μετά τη λήψη των δύο πτυχίων Ιατρικής και Οδοντιατρικής, ασχέτως της σειράς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απόκτησής τους και διαρκεί πέντε (5) χρόνια, τα οποία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κατανέμονται ως εξής: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Α΄ περίοδος: δώδεκα (12) μήνες Γενική Χειρουργική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Β΄ περίοδος: σαράντα οκτώ (48) μήνες Χειρουργική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Στόματος, Γνάθων, και Προσώπου.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Οι ιατροί που ειδικεύονται κατά τη δημοσίευση του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παρόντος, θα ολοκληρώσουν την ειδίκευσή τους σύμφωνα με τις διατάξεις που ίσχυαν κατά την τοποθέτησή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τους, εκτός εάν επιθυμούν να υπαχθούν στις διατάξεις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του παρόντος νόμου, οπότε εντός τριμήνου από τη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δημοσίευσή του υποχρεούνται να υποβάλουν σχετική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αίτηση στο Υπουργείο Υγείας.»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>4. Η παράγραφος β.4. του άρθρου 29 του ν. 3209/2003</w:t>
      </w:r>
      <w:r w:rsidR="00AA032E" w:rsidRPr="00AA032E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(Α΄304) αντικαθίστανται ως εξής:</w:t>
      </w:r>
    </w:p>
    <w:p w:rsidR="008E0FBD" w:rsidRPr="008E0FBD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 xml:space="preserve">«β.4. Οι Στοματικοί και </w:t>
      </w:r>
      <w:proofErr w:type="spellStart"/>
      <w:r w:rsidRPr="008E0FBD">
        <w:rPr>
          <w:rFonts w:ascii="Arial" w:hAnsi="Arial" w:cs="Arial"/>
        </w:rPr>
        <w:t>Γναθοπροσωπικοί</w:t>
      </w:r>
      <w:proofErr w:type="spellEnd"/>
      <w:r w:rsidRPr="008E0FBD">
        <w:rPr>
          <w:rFonts w:ascii="Arial" w:hAnsi="Arial" w:cs="Arial"/>
        </w:rPr>
        <w:t xml:space="preserve"> Χειρουργοί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δύνανται, εάν το επιθυμούν, να είναι μέλη και στους δύο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τοπικούς Συλλόγους, ήτοι στον Ιατρικό και τον Οδοντιατρικό Σύλλογο στην περιφέρεια όπου έχουν την</w:t>
      </w:r>
      <w:r w:rsidRPr="008E0FBD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επαγγελματική τους εγκατάσταση.»</w:t>
      </w:r>
    </w:p>
    <w:p w:rsidR="00AA032E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 xml:space="preserve">5. </w:t>
      </w:r>
      <w:r w:rsidRPr="00AA032E">
        <w:rPr>
          <w:rFonts w:ascii="Arial" w:hAnsi="Arial" w:cs="Arial"/>
          <w:highlight w:val="yellow"/>
        </w:rPr>
        <w:t>Η εισαγωγή στην ειδικότητα της Στοματικής και</w:t>
      </w:r>
      <w:r w:rsidRPr="00AA032E">
        <w:rPr>
          <w:rFonts w:ascii="Arial" w:hAnsi="Arial" w:cs="Arial"/>
          <w:highlight w:val="yellow"/>
        </w:rPr>
        <w:t xml:space="preserve"> </w:t>
      </w:r>
      <w:proofErr w:type="spellStart"/>
      <w:r w:rsidRPr="00AA032E">
        <w:rPr>
          <w:rFonts w:ascii="Arial" w:hAnsi="Arial" w:cs="Arial"/>
          <w:highlight w:val="yellow"/>
        </w:rPr>
        <w:t>Γναθοπροσωπικής</w:t>
      </w:r>
      <w:proofErr w:type="spellEnd"/>
      <w:r w:rsidRPr="00AA032E">
        <w:rPr>
          <w:rFonts w:ascii="Arial" w:hAnsi="Arial" w:cs="Arial"/>
          <w:highlight w:val="yellow"/>
        </w:rPr>
        <w:t xml:space="preserve"> Χειρουργικής πραγματοποιείται</w:t>
      </w:r>
      <w:r w:rsidR="00AA032E" w:rsidRPr="00AA032E">
        <w:rPr>
          <w:rFonts w:ascii="Arial" w:hAnsi="Arial" w:cs="Arial"/>
          <w:highlight w:val="yellow"/>
        </w:rPr>
        <w:t xml:space="preserve"> </w:t>
      </w:r>
      <w:r w:rsidRPr="00AA032E">
        <w:rPr>
          <w:rFonts w:ascii="Arial" w:hAnsi="Arial" w:cs="Arial"/>
          <w:highlight w:val="yellow"/>
        </w:rPr>
        <w:t>σύμφωνα με τους νόμους και τα διατάγματα που διέπουν τις ιατρικές ειδικότητες.</w:t>
      </w:r>
      <w:r w:rsidRPr="008E0FBD">
        <w:rPr>
          <w:rFonts w:ascii="Arial" w:hAnsi="Arial" w:cs="Arial"/>
        </w:rPr>
        <w:t xml:space="preserve"> </w:t>
      </w:r>
    </w:p>
    <w:p w:rsidR="00170DD9" w:rsidRDefault="008E0FBD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E0FBD">
        <w:rPr>
          <w:rFonts w:ascii="Arial" w:hAnsi="Arial" w:cs="Arial"/>
        </w:rPr>
        <w:t xml:space="preserve">Το </w:t>
      </w:r>
      <w:proofErr w:type="spellStart"/>
      <w:r w:rsidRPr="008E0FBD">
        <w:rPr>
          <w:rFonts w:ascii="Arial" w:hAnsi="Arial" w:cs="Arial"/>
        </w:rPr>
        <w:t>π.δ.</w:t>
      </w:r>
      <w:proofErr w:type="spellEnd"/>
      <w:r w:rsidRPr="008E0FBD">
        <w:rPr>
          <w:rFonts w:ascii="Arial" w:hAnsi="Arial" w:cs="Arial"/>
        </w:rPr>
        <w:t xml:space="preserve"> 390/1991 (Α΄ 140)</w:t>
      </w:r>
      <w:r w:rsidRPr="00AA032E">
        <w:rPr>
          <w:rFonts w:ascii="Arial" w:hAnsi="Arial" w:cs="Arial"/>
        </w:rPr>
        <w:t xml:space="preserve"> </w:t>
      </w:r>
      <w:r w:rsidRPr="008E0FBD">
        <w:rPr>
          <w:rFonts w:ascii="Arial" w:hAnsi="Arial" w:cs="Arial"/>
        </w:rPr>
        <w:t>καταργείται.</w:t>
      </w:r>
    </w:p>
    <w:p w:rsidR="00AA032E" w:rsidRDefault="00AA032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A032E" w:rsidRPr="00AA032E" w:rsidRDefault="00AA032E" w:rsidP="00AA0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ΝΟΣΟΚΟΜΕΙΑ ΠΟΥ ΠΡΟΣΦΕΡΟΥΝ ΤΗΝ </w:t>
      </w:r>
      <w:r w:rsidRPr="00AA032E">
        <w:rPr>
          <w:rFonts w:ascii="Arial" w:hAnsi="Arial" w:cs="Arial"/>
          <w:b/>
        </w:rPr>
        <w:t>ΕΙΔΙΚΟΤΗΤΑ ΤΗΣ ΣΤΟΜΑΤΙΚΗΣ ΚΑΙ ΓΝΑΘΟΠΡΟΣΩΠΙΚΗΣ ΧΕΙΡΟΥΡΓΙΚΗΣ</w:t>
      </w:r>
    </w:p>
    <w:p w:rsidR="00AA032E" w:rsidRDefault="00AA032E" w:rsidP="00AA032E">
      <w:pPr>
        <w:pStyle w:val="a3"/>
        <w:rPr>
          <w:b/>
        </w:rPr>
      </w:pPr>
    </w:p>
    <w:p w:rsidR="00AA032E" w:rsidRPr="00AA032E" w:rsidRDefault="00AA032E" w:rsidP="00AA032E">
      <w:pPr>
        <w:pStyle w:val="a3"/>
        <w:rPr>
          <w:b/>
          <w:u w:val="single"/>
        </w:rPr>
      </w:pPr>
      <w:r w:rsidRPr="00AA032E">
        <w:rPr>
          <w:b/>
          <w:u w:val="single"/>
        </w:rPr>
        <w:t>Αθήνα</w:t>
      </w:r>
    </w:p>
    <w:p w:rsidR="00AA032E" w:rsidRDefault="00AA032E" w:rsidP="00AA032E">
      <w:pPr>
        <w:pStyle w:val="a3"/>
      </w:pPr>
      <w:r>
        <w:t>ΚΑΤ</w:t>
      </w:r>
    </w:p>
    <w:p w:rsidR="00AA032E" w:rsidRDefault="00AA032E" w:rsidP="00AA032E">
      <w:pPr>
        <w:pStyle w:val="a3"/>
      </w:pPr>
      <w:r>
        <w:t>ΕΥΑΓΓΕΛΙΣΜΟΣ</w:t>
      </w:r>
    </w:p>
    <w:p w:rsidR="00AA032E" w:rsidRDefault="00AA032E" w:rsidP="00AA032E">
      <w:pPr>
        <w:pStyle w:val="a3"/>
      </w:pPr>
      <w:r>
        <w:t>ΓΕΝΝΗΜΑΤΑ</w:t>
      </w:r>
    </w:p>
    <w:p w:rsidR="00AA032E" w:rsidRDefault="00AA032E" w:rsidP="00AA032E">
      <w:pPr>
        <w:pStyle w:val="a3"/>
      </w:pPr>
      <w:r>
        <w:t>ΙΠΠΟΚΡΑΤΕΙΟ</w:t>
      </w:r>
    </w:p>
    <w:p w:rsidR="00AA032E" w:rsidRDefault="00AA032E" w:rsidP="00AA032E">
      <w:pPr>
        <w:pStyle w:val="a3"/>
      </w:pPr>
    </w:p>
    <w:p w:rsidR="00AA032E" w:rsidRPr="00AA032E" w:rsidRDefault="00AA032E" w:rsidP="00AA032E">
      <w:pPr>
        <w:pStyle w:val="a3"/>
        <w:rPr>
          <w:b/>
          <w:u w:val="single"/>
        </w:rPr>
      </w:pPr>
      <w:r w:rsidRPr="00AA032E">
        <w:rPr>
          <w:b/>
          <w:u w:val="single"/>
        </w:rPr>
        <w:t>Θεσσαλονίκη</w:t>
      </w:r>
    </w:p>
    <w:p w:rsidR="00AA032E" w:rsidRDefault="00AA032E" w:rsidP="00AA032E">
      <w:pPr>
        <w:pStyle w:val="a3"/>
      </w:pPr>
      <w:r>
        <w:t>Παπανικολάου</w:t>
      </w:r>
    </w:p>
    <w:p w:rsidR="00AA032E" w:rsidRDefault="00AA032E" w:rsidP="00AA032E">
      <w:pPr>
        <w:pStyle w:val="a3"/>
      </w:pPr>
      <w:proofErr w:type="spellStart"/>
      <w:r>
        <w:t>Θεαγένειο</w:t>
      </w:r>
      <w:proofErr w:type="spellEnd"/>
      <w:r>
        <w:t xml:space="preserve"> (ένα χρόνο)</w:t>
      </w:r>
    </w:p>
    <w:p w:rsidR="00AA032E" w:rsidRDefault="00AA032E" w:rsidP="00AA032E">
      <w:pPr>
        <w:pStyle w:val="a3"/>
      </w:pPr>
    </w:p>
    <w:p w:rsidR="00AA032E" w:rsidRPr="00AA032E" w:rsidRDefault="00AA032E" w:rsidP="00AA032E">
      <w:pPr>
        <w:pStyle w:val="a3"/>
        <w:rPr>
          <w:b/>
          <w:u w:val="single"/>
        </w:rPr>
      </w:pPr>
      <w:r w:rsidRPr="00AA032E">
        <w:rPr>
          <w:b/>
          <w:u w:val="single"/>
        </w:rPr>
        <w:t>Ιωάννινα</w:t>
      </w:r>
    </w:p>
    <w:p w:rsidR="00AA032E" w:rsidRDefault="00AA032E" w:rsidP="00AA032E">
      <w:pPr>
        <w:pStyle w:val="a3"/>
      </w:pPr>
      <w:proofErr w:type="spellStart"/>
      <w:r>
        <w:t>Χατζηκώστα</w:t>
      </w:r>
      <w:proofErr w:type="spellEnd"/>
    </w:p>
    <w:p w:rsidR="00AA032E" w:rsidRPr="00AA032E" w:rsidRDefault="00AA032E" w:rsidP="008E0FB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sectPr w:rsidR="00AA032E" w:rsidRPr="00AA03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BD"/>
    <w:rsid w:val="00170DD9"/>
    <w:rsid w:val="008E0FBD"/>
    <w:rsid w:val="00AA032E"/>
    <w:rsid w:val="00D7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35BF9-8655-4341-AB65-039F57F1F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rsid w:val="00AA032E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3"/>
    <w:uiPriority w:val="99"/>
    <w:semiHidden/>
    <w:rsid w:val="00AA032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0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Ματσούκα Κική</dc:creator>
  <cp:keywords/>
  <dc:description/>
  <cp:lastModifiedBy>Ματσούκα Κική</cp:lastModifiedBy>
  <cp:revision>3</cp:revision>
  <dcterms:created xsi:type="dcterms:W3CDTF">2014-09-19T10:25:00Z</dcterms:created>
  <dcterms:modified xsi:type="dcterms:W3CDTF">2014-09-19T10:32:00Z</dcterms:modified>
</cp:coreProperties>
</file>